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77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汉中市城市二次供水管理办法</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（修订</w:t>
      </w:r>
      <w:bookmarkStart w:id="0" w:name="_GoBack"/>
      <w:bookmarkEnd w:id="0"/>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560" w:lineRule="exact"/>
        <w:jc w:val="left"/>
        <w:textAlignment w:val="auto"/>
        <w:rPr>
          <w:rFonts w:hint="eastAsia" w:ascii="仿宋" w:hAnsi="仿宋" w:eastAsia="仿宋" w:cs="仿宋"/>
          <w:snapToGrid/>
          <w:color w:val="auto"/>
          <w:sz w:val="21"/>
        </w:rPr>
      </w:pPr>
      <w:r>
        <w:rPr>
          <w:rFonts w:hint="default" w:ascii="仿宋_GB2312" w:hAnsi="仿宋_GB2312" w:eastAsia="仿宋_GB2312"/>
          <w:b/>
          <w:snapToGrid/>
          <w:color w:val="auto"/>
          <w:sz w:val="32"/>
          <w:lang w:eastAsia="zh-CN"/>
        </w:rPr>
        <w:t xml:space="preserve">  </w:t>
      </w:r>
      <w:r>
        <w:rPr>
          <w:rFonts w:hint="default" w:ascii="仿宋_GB2312" w:hAnsi="仿宋_GB2312" w:eastAsia="仿宋_GB2312"/>
          <w:snapToGrid/>
          <w:color w:val="auto"/>
          <w:sz w:val="32"/>
          <w:lang w:eastAsia="zh-CN"/>
        </w:rPr>
        <w:t xml:space="preserve">  </w:t>
      </w:r>
      <w:r>
        <w:rPr>
          <w:rFonts w:hint="eastAsia" w:ascii="仿宋" w:hAnsi="仿宋" w:eastAsia="仿宋" w:cs="仿宋"/>
          <w:b/>
          <w:snapToGrid/>
          <w:color w:val="auto"/>
          <w:sz w:val="32"/>
          <w:lang w:eastAsia="zh-CN"/>
        </w:rPr>
        <w:t>目  录</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1"/>
        </w:rPr>
      </w:pPr>
      <w:r>
        <w:rPr>
          <w:rFonts w:hint="eastAsia" w:ascii="仿宋" w:hAnsi="仿宋" w:eastAsia="仿宋" w:cs="仿宋"/>
          <w:b/>
          <w:snapToGrid/>
          <w:color w:val="auto"/>
          <w:sz w:val="32"/>
          <w:lang w:eastAsia="zh-CN"/>
        </w:rPr>
        <w:t xml:space="preserve">第一章 </w:t>
      </w:r>
      <w:r>
        <w:rPr>
          <w:rFonts w:hint="eastAsia" w:ascii="仿宋" w:hAnsi="仿宋" w:eastAsia="仿宋" w:cs="仿宋"/>
          <w:snapToGrid/>
          <w:color w:val="auto"/>
          <w:sz w:val="32"/>
          <w:lang w:eastAsia="zh-CN"/>
        </w:rPr>
        <w:t xml:space="preserve"> 总  则</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1"/>
        </w:rPr>
      </w:pPr>
      <w:r>
        <w:rPr>
          <w:rFonts w:hint="eastAsia" w:ascii="仿宋" w:hAnsi="仿宋" w:eastAsia="仿宋" w:cs="仿宋"/>
          <w:b/>
          <w:snapToGrid/>
          <w:color w:val="auto"/>
          <w:sz w:val="32"/>
          <w:lang w:eastAsia="zh-CN"/>
        </w:rPr>
        <w:t xml:space="preserve">第二章 </w:t>
      </w:r>
      <w:r>
        <w:rPr>
          <w:rFonts w:hint="eastAsia" w:ascii="仿宋" w:hAnsi="仿宋" w:eastAsia="仿宋" w:cs="仿宋"/>
          <w:snapToGrid/>
          <w:color w:val="auto"/>
          <w:sz w:val="32"/>
          <w:lang w:eastAsia="zh-CN"/>
        </w:rPr>
        <w:t xml:space="preserve"> 规划建设</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1"/>
        </w:rPr>
      </w:pPr>
      <w:r>
        <w:rPr>
          <w:rFonts w:hint="eastAsia" w:ascii="仿宋" w:hAnsi="仿宋" w:eastAsia="仿宋" w:cs="仿宋"/>
          <w:b/>
          <w:snapToGrid/>
          <w:color w:val="auto"/>
          <w:sz w:val="32"/>
          <w:lang w:eastAsia="zh-CN"/>
        </w:rPr>
        <w:t xml:space="preserve">第三章 </w:t>
      </w:r>
      <w:r>
        <w:rPr>
          <w:rFonts w:hint="eastAsia" w:ascii="仿宋" w:hAnsi="仿宋" w:eastAsia="仿宋" w:cs="仿宋"/>
          <w:snapToGrid/>
          <w:color w:val="auto"/>
          <w:sz w:val="32"/>
          <w:lang w:eastAsia="zh-CN"/>
        </w:rPr>
        <w:t xml:space="preserve"> 运行维护管理</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1"/>
          <w:lang w:val="en-US"/>
        </w:rPr>
      </w:pPr>
      <w:r>
        <w:rPr>
          <w:rFonts w:hint="eastAsia" w:ascii="仿宋" w:hAnsi="仿宋" w:eastAsia="仿宋" w:cs="仿宋"/>
          <w:b/>
          <w:snapToGrid/>
          <w:color w:val="auto"/>
          <w:sz w:val="32"/>
          <w:lang w:eastAsia="zh-CN"/>
        </w:rPr>
        <w:t xml:space="preserve">第四章 </w:t>
      </w:r>
      <w:r>
        <w:rPr>
          <w:rFonts w:hint="eastAsia" w:ascii="仿宋" w:hAnsi="仿宋" w:eastAsia="仿宋" w:cs="仿宋"/>
          <w:snapToGrid/>
          <w:color w:val="auto"/>
          <w:sz w:val="32"/>
          <w:lang w:eastAsia="zh-CN"/>
        </w:rPr>
        <w:t xml:space="preserve"> </w:t>
      </w:r>
      <w:r>
        <w:rPr>
          <w:rFonts w:hint="eastAsia" w:ascii="仿宋" w:hAnsi="仿宋" w:eastAsia="仿宋" w:cs="仿宋"/>
          <w:snapToGrid/>
          <w:color w:val="auto"/>
          <w:sz w:val="32"/>
          <w:lang w:val="en-US" w:eastAsia="zh-CN"/>
        </w:rPr>
        <w:t>监督管理</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1"/>
        </w:rPr>
      </w:pPr>
      <w:r>
        <w:rPr>
          <w:rFonts w:hint="eastAsia" w:ascii="仿宋" w:hAnsi="仿宋" w:eastAsia="仿宋" w:cs="仿宋"/>
          <w:b/>
          <w:snapToGrid/>
          <w:color w:val="auto"/>
          <w:sz w:val="32"/>
          <w:lang w:eastAsia="zh-CN"/>
        </w:rPr>
        <w:t xml:space="preserve">第五章 </w:t>
      </w:r>
      <w:r>
        <w:rPr>
          <w:rFonts w:hint="eastAsia" w:ascii="仿宋" w:hAnsi="仿宋" w:eastAsia="仿宋" w:cs="仿宋"/>
          <w:snapToGrid/>
          <w:color w:val="auto"/>
          <w:sz w:val="32"/>
          <w:lang w:eastAsia="zh-CN"/>
        </w:rPr>
        <w:t xml:space="preserve"> 法律责任</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1"/>
        </w:rPr>
      </w:pPr>
      <w:r>
        <w:rPr>
          <w:rFonts w:hint="eastAsia" w:ascii="仿宋" w:hAnsi="仿宋" w:eastAsia="仿宋" w:cs="仿宋"/>
          <w:b/>
          <w:snapToGrid/>
          <w:color w:val="auto"/>
          <w:sz w:val="32"/>
          <w:lang w:eastAsia="zh-CN"/>
        </w:rPr>
        <w:t>第六章</w:t>
      </w:r>
      <w:r>
        <w:rPr>
          <w:rFonts w:hint="eastAsia" w:ascii="仿宋" w:hAnsi="仿宋" w:eastAsia="仿宋" w:cs="仿宋"/>
          <w:snapToGrid/>
          <w:color w:val="auto"/>
          <w:sz w:val="32"/>
          <w:lang w:eastAsia="zh-CN"/>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第一章</w:t>
      </w:r>
      <w:r>
        <w:rPr>
          <w:rFonts w:hint="eastAsia" w:ascii="黑体" w:hAnsi="黑体" w:eastAsia="黑体" w:cs="黑体"/>
          <w:b/>
          <w:bCs/>
          <w:color w:val="auto"/>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为了加强生活饮用水二次供水设施管理，预防生活 饮用水污染，提高城</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居民二次供水设施建设和运行维护管理水 平，改善供水水质和服务质量，促进节能降耗，根据《城市供水条例》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城市供水水质管理规定》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生活饮用水卫生监督管理办法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《陕西省城乡供水用水条例》《陕西省生活饮用水卫生监督管理办法》等有关法规</w:t>
      </w:r>
      <w:r>
        <w:rPr>
          <w:rFonts w:hint="eastAsia" w:ascii="仿宋" w:hAnsi="仿宋" w:eastAsia="仿宋" w:cs="仿宋"/>
          <w:color w:val="auto"/>
          <w:sz w:val="32"/>
          <w:szCs w:val="32"/>
          <w:lang w:val="en-US" w:eastAsia="zh-CN"/>
        </w:rPr>
        <w:t>规章</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现行</w:t>
      </w:r>
      <w:r>
        <w:rPr>
          <w:rFonts w:hint="eastAsia" w:ascii="仿宋" w:hAnsi="仿宋" w:eastAsia="仿宋" w:cs="仿宋"/>
          <w:color w:val="auto"/>
          <w:sz w:val="32"/>
          <w:szCs w:val="32"/>
        </w:rPr>
        <w:t>《二次供水工程技术规程》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CJJ140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《二次供水设施卫生规范》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GB 17051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《陕西省二次供水工程技术规程》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DBJ 61/T 186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等有关标准规范，结合本市实际，制定本办法。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第二条 </w:t>
      </w:r>
      <w:r>
        <w:rPr>
          <w:rFonts w:hint="eastAsia" w:ascii="仿宋" w:hAnsi="仿宋" w:eastAsia="仿宋" w:cs="仿宋"/>
          <w:color w:val="auto"/>
          <w:sz w:val="32"/>
          <w:szCs w:val="32"/>
        </w:rPr>
        <w:t>本办法所称二次供水，是指民用与工业建筑生活饮用水对水压、水量的要求超过城市公共供水或自建设施供水管网能力时，通过储存、加压等调蓄设施，经管道供给用户或自用的供水方式。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本办法所称二次供水设施，是指为二次供水设置的泵房、水 箱(池)、水泵、阀门、电控装置、消毒设备、压力水容器、供</w:t>
      </w:r>
      <w:r>
        <w:rPr>
          <w:rFonts w:hint="eastAsia" w:ascii="仿宋" w:hAnsi="仿宋" w:eastAsia="仿宋" w:cs="仿宋"/>
          <w:color w:val="auto"/>
          <w:sz w:val="32"/>
          <w:szCs w:val="32"/>
          <w:lang w:val="en-US" w:eastAsia="zh-CN"/>
        </w:rPr>
        <w:t>水</w:t>
      </w:r>
      <w:r>
        <w:rPr>
          <w:rFonts w:hint="eastAsia" w:ascii="仿宋" w:hAnsi="仿宋" w:eastAsia="仿宋" w:cs="仿宋"/>
          <w:color w:val="auto"/>
          <w:sz w:val="32"/>
          <w:szCs w:val="32"/>
        </w:rPr>
        <w:t>管道等设施。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本办法所称叠压供水，是与供水管网直接串联加压供水，利用供水管网压力并保证满足用户水压、水量、水质，且保证不会影响供水部门规定的最小服务水头的加压供水装置。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本办法适用于本市城市（含县城）建成区公共供水管网覆盖范围内生活饮用水二次供水设施的规划、建设、验收、设施运维和监督管理。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第四条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城市二次供水应当采用安全可靠、卫生环保、节能节水的先进技术和设备，鼓励城市供水企业推进智慧化二次供水管理平台建设。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第五条 </w:t>
      </w:r>
      <w:r>
        <w:rPr>
          <w:rFonts w:hint="eastAsia" w:ascii="仿宋" w:hAnsi="仿宋" w:eastAsia="仿宋" w:cs="仿宋"/>
          <w:color w:val="auto"/>
          <w:sz w:val="32"/>
          <w:szCs w:val="32"/>
          <w:lang w:val="en-US" w:eastAsia="zh-CN"/>
        </w:rPr>
        <w:t>县级以上人民政府确定的城市供水行政主管部门负责二次供水的监督管理工作。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县级以上人民政府确定的疾病预防控制行政主管部门负责二次供水的卫生监督管理工作。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县级以上人民政府确定的建设行政主管部门</w:t>
      </w:r>
      <w:r>
        <w:rPr>
          <w:rFonts w:hint="default" w:ascii="仿宋" w:hAnsi="仿宋" w:eastAsia="仿宋" w:cs="仿宋"/>
          <w:color w:val="auto"/>
          <w:sz w:val="32"/>
          <w:szCs w:val="32"/>
          <w:lang w:val="en-US" w:eastAsia="zh-CN"/>
        </w:rPr>
        <w:t>负责二次供水设施建设项目工程质量的监管及建设规范标准的监督落实工作。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县级以上人民政府发展改革行政主管部门负责适时调整水价，城市二次供水用户供水水价应包含二次供水</w:t>
      </w:r>
      <w:r>
        <w:rPr>
          <w:rFonts w:hint="default" w:ascii="仿宋" w:hAnsi="仿宋" w:eastAsia="仿宋" w:cs="仿宋"/>
          <w:color w:val="auto"/>
          <w:sz w:val="32"/>
          <w:szCs w:val="32"/>
          <w:lang w:val="en-US" w:eastAsia="zh-CN"/>
        </w:rPr>
        <w:t>设施运行维护、修理更新等费用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县级以上人民政府自然资源、水利、公安、市场监督管理等部门依照各自职责，做好二次供水相关管理工作；乡镇人民政府、街道办事处协助做好本辖区二次供水管理工作。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第六条 </w:t>
      </w:r>
      <w:r>
        <w:rPr>
          <w:rFonts w:hint="eastAsia" w:ascii="仿宋" w:hAnsi="仿宋" w:eastAsia="仿宋" w:cs="仿宋"/>
          <w:color w:val="auto"/>
          <w:sz w:val="32"/>
          <w:szCs w:val="32"/>
          <w:lang w:val="en-US" w:eastAsia="zh-CN"/>
        </w:rPr>
        <w:t>城市供水企业应加强二次供水用水报装的管理，优化报装流程、压缩报装时限，提升服务水平。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第二章</w:t>
      </w:r>
      <w:r>
        <w:rPr>
          <w:rFonts w:hint="eastAsia" w:ascii="黑体" w:hAnsi="黑体" w:eastAsia="黑体" w:cs="黑体"/>
          <w:b/>
          <w:bCs/>
          <w:color w:val="auto"/>
          <w:sz w:val="32"/>
          <w:szCs w:val="32"/>
        </w:rPr>
        <w:t xml:space="preserve"> </w:t>
      </w:r>
      <w:r>
        <w:rPr>
          <w:rFonts w:hint="eastAsia" w:ascii="黑体" w:hAnsi="黑体" w:eastAsia="黑体" w:cs="黑体"/>
          <w:b/>
          <w:bCs/>
          <w:color w:val="auto"/>
          <w:sz w:val="32"/>
          <w:szCs w:val="32"/>
          <w:lang w:val="en-US" w:eastAsia="zh-CN"/>
        </w:rPr>
        <w:t>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第七条 </w:t>
      </w:r>
      <w:r>
        <w:rPr>
          <w:rFonts w:hint="eastAsia" w:ascii="仿宋" w:hAnsi="仿宋" w:eastAsia="仿宋" w:cs="仿宋"/>
          <w:b w:val="0"/>
          <w:bCs w:val="0"/>
          <w:color w:val="auto"/>
          <w:sz w:val="32"/>
          <w:szCs w:val="32"/>
          <w:lang w:val="en-US" w:eastAsia="zh-CN"/>
        </w:rPr>
        <w:t>各县区编制城市供水发展规划</w:t>
      </w:r>
      <w:r>
        <w:rPr>
          <w:rFonts w:hint="default" w:ascii="仿宋" w:hAnsi="仿宋" w:eastAsia="仿宋" w:cs="仿宋"/>
          <w:b w:val="0"/>
          <w:bCs w:val="0"/>
          <w:color w:val="auto"/>
          <w:sz w:val="32"/>
          <w:szCs w:val="32"/>
          <w:lang w:val="en-US" w:eastAsia="zh-CN"/>
        </w:rPr>
        <w:t>应当统筹考虑城市公共供水管网区域集中调蓄调压设施布局，确保管网压力平稳均衡；发挥城市供水专项规划对二次供水设施建设的调控作用，合理布置二次供水设施，</w:t>
      </w:r>
      <w:r>
        <w:rPr>
          <w:rFonts w:hint="eastAsia" w:ascii="仿宋" w:hAnsi="仿宋" w:eastAsia="仿宋" w:cs="仿宋"/>
          <w:b w:val="0"/>
          <w:bCs w:val="0"/>
          <w:color w:val="auto"/>
          <w:sz w:val="32"/>
          <w:szCs w:val="32"/>
          <w:lang w:val="en-US" w:eastAsia="zh-CN"/>
        </w:rPr>
        <w:t>增加城市调蓄能力、</w:t>
      </w:r>
      <w:r>
        <w:rPr>
          <w:rFonts w:hint="default" w:ascii="仿宋" w:hAnsi="仿宋" w:eastAsia="仿宋" w:cs="仿宋"/>
          <w:b w:val="0"/>
          <w:bCs w:val="0"/>
          <w:color w:val="auto"/>
          <w:sz w:val="32"/>
          <w:szCs w:val="32"/>
          <w:lang w:val="en-US" w:eastAsia="zh-CN"/>
        </w:rPr>
        <w:t>促进节能降耗，</w:t>
      </w:r>
      <w:r>
        <w:rPr>
          <w:rFonts w:hint="eastAsia" w:ascii="仿宋" w:hAnsi="仿宋" w:eastAsia="仿宋" w:cs="仿宋"/>
          <w:b w:val="0"/>
          <w:bCs w:val="0"/>
          <w:color w:val="auto"/>
          <w:sz w:val="32"/>
          <w:szCs w:val="32"/>
          <w:lang w:val="en-US" w:eastAsia="zh-CN"/>
        </w:rPr>
        <w:t>提升供水系统韧性</w:t>
      </w:r>
      <w:r>
        <w:rPr>
          <w:rFonts w:hint="default"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42" w:firstLineChars="200"/>
        <w:jc w:val="both"/>
        <w:textAlignment w:val="auto"/>
        <w:rPr>
          <w:rFonts w:hint="eastAsia" w:ascii="仿宋" w:hAnsi="仿宋" w:eastAsia="仿宋" w:cs="仿宋"/>
          <w:snapToGrid/>
          <w:color w:val="auto"/>
          <w:sz w:val="32"/>
          <w:lang w:val="en-US" w:eastAsia="zh-CN"/>
        </w:rPr>
      </w:pPr>
      <w:r>
        <w:rPr>
          <w:rFonts w:hint="eastAsia" w:ascii="仿宋" w:hAnsi="仿宋" w:eastAsia="仿宋" w:cs="仿宋"/>
          <w:b/>
          <w:bCs/>
          <w:snapToGrid/>
          <w:color w:val="auto"/>
          <w:sz w:val="32"/>
          <w:lang w:val="en-US" w:eastAsia="zh-CN"/>
        </w:rPr>
        <w:t>第八条</w:t>
      </w:r>
      <w:r>
        <w:rPr>
          <w:rFonts w:hint="eastAsia" w:ascii="仿宋" w:hAnsi="仿宋" w:eastAsia="仿宋" w:cs="仿宋"/>
          <w:snapToGrid/>
          <w:color w:val="auto"/>
          <w:sz w:val="32"/>
          <w:lang w:val="en-US" w:eastAsia="zh-CN"/>
        </w:rPr>
        <w:t xml:space="preserve"> 新建、改建、扩建二次供水工程的设计、施工、安装、调试、验收应执行现行《建筑给水排水设计标准》（GB 50015）、《建筑给水排水与节水通用规范》（GB 55020）、《二次供水工程技术规程》（DBJ 61/T 186）等相关工程建设规范标准。</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42" w:firstLineChars="200"/>
        <w:jc w:val="both"/>
        <w:textAlignment w:val="auto"/>
        <w:rPr>
          <w:rFonts w:hint="eastAsia" w:ascii="仿宋" w:hAnsi="仿宋" w:eastAsia="仿宋" w:cs="仿宋"/>
          <w:snapToGrid/>
          <w:color w:val="auto"/>
          <w:sz w:val="32"/>
          <w:lang w:eastAsia="zh-CN"/>
        </w:rPr>
      </w:pPr>
      <w:r>
        <w:rPr>
          <w:rFonts w:hint="eastAsia" w:ascii="仿宋" w:hAnsi="仿宋" w:eastAsia="仿宋" w:cs="仿宋"/>
          <w:b/>
          <w:bCs/>
          <w:snapToGrid/>
          <w:color w:val="auto"/>
          <w:kern w:val="2"/>
          <w:sz w:val="32"/>
          <w:szCs w:val="24"/>
          <w:lang w:val="en-US" w:eastAsia="zh-CN" w:bidi="ar-SA"/>
        </w:rPr>
        <w:t>第九条</w:t>
      </w:r>
      <w:r>
        <w:rPr>
          <w:rFonts w:hint="eastAsia" w:ascii="仿宋" w:hAnsi="仿宋" w:eastAsia="仿宋" w:cs="仿宋"/>
          <w:snapToGrid/>
          <w:color w:val="auto"/>
          <w:kern w:val="2"/>
          <w:sz w:val="32"/>
          <w:szCs w:val="24"/>
          <w:lang w:val="en-US" w:eastAsia="zh-CN" w:bidi="ar-SA"/>
        </w:rPr>
        <w:t xml:space="preserve"> </w:t>
      </w:r>
      <w:r>
        <w:rPr>
          <w:rFonts w:hint="eastAsia" w:ascii="仿宋" w:hAnsi="仿宋" w:eastAsia="仿宋" w:cs="仿宋"/>
          <w:snapToGrid/>
          <w:color w:val="auto"/>
          <w:sz w:val="32"/>
          <w:lang w:val="en-US" w:eastAsia="zh-CN"/>
        </w:rPr>
        <w:t>二次供水工程的设计、施工、监理应由具有相应资质的单位承担；</w:t>
      </w:r>
      <w:r>
        <w:rPr>
          <w:rFonts w:hint="eastAsia" w:ascii="仿宋" w:hAnsi="仿宋" w:eastAsia="仿宋" w:cs="仿宋"/>
          <w:snapToGrid/>
          <w:color w:val="auto"/>
          <w:sz w:val="32"/>
          <w:lang w:eastAsia="zh-CN"/>
        </w:rPr>
        <w:t>新建二次供水设施应当与主体工程同时设计、同时施工、同时投入使用。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第十条</w:t>
      </w:r>
      <w:r>
        <w:rPr>
          <w:rFonts w:hint="eastAsia" w:ascii="仿宋" w:hAnsi="仿宋" w:eastAsia="仿宋" w:cs="仿宋"/>
          <w:snapToGrid/>
          <w:color w:val="auto"/>
          <w:sz w:val="32"/>
          <w:shd w:val="clear" w:color="auto" w:fill="FFFFFF"/>
          <w:lang w:val="en-US" w:eastAsia="zh-CN"/>
        </w:rPr>
        <w:t xml:space="preserve"> 已建二次供水设施不符合相关技术标准、规范和卫生、安全防范要求的，在城市供水企业技术指导下，由有关责任单位或产权人负责筹资改造。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第十一条</w:t>
      </w:r>
      <w:r>
        <w:rPr>
          <w:rFonts w:hint="eastAsia" w:ascii="仿宋" w:hAnsi="仿宋" w:eastAsia="仿宋" w:cs="仿宋"/>
          <w:snapToGrid/>
          <w:color w:val="auto"/>
          <w:sz w:val="32"/>
          <w:shd w:val="clear" w:color="auto" w:fill="FFFFFF"/>
          <w:lang w:val="en-US" w:eastAsia="zh-CN"/>
        </w:rPr>
        <w:t xml:space="preserve"> 二次供水设施的设计方案应当由城市二次供水、疾病预防控制等行政主管部门及城市供水企业参与技术审查，出具审查意见。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城市供水企业应当全程参与二次供水设施的设计、建设、验收过程并提供技术指导服务，设计单位、图审单位、建设单位应把好设计关、审查关、建设关、验收关，保证二次供水设施设计和建设符合标准及规范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第十二条</w:t>
      </w:r>
      <w:r>
        <w:rPr>
          <w:rFonts w:hint="eastAsia" w:ascii="仿宋" w:hAnsi="仿宋" w:eastAsia="仿宋" w:cs="仿宋"/>
          <w:snapToGrid/>
          <w:color w:val="auto"/>
          <w:sz w:val="32"/>
          <w:shd w:val="clear" w:color="auto" w:fill="FFFFFF"/>
          <w:lang w:val="en-US" w:eastAsia="zh-CN"/>
        </w:rPr>
        <w:t xml:space="preserve"> 与主体同步建设的二次供水设施应与主体一并纳入工程质量监督，主体交付后增设的二次供水设施建设工程应依法履行基本建设程序，并纳入工程质量监督。二次供水行政主管部门和城市供水企业有权监督二次供水设施的安装质量，并参与二次供水设施配套连接管道工程隐蔽前的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二次供水设施工程竣工后，建设单位应当依法组织验收，并通知城市二次供水、疾病预防控制等行政主管部门及城市供水企业参加。未经验收或者验收不合格的，不得擅自将二次供水设施与城市公共供水管网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二次供水设施工程竣工验收合格后，建设单位应当在三个月内将工程档案资料移交城乡建设档案机构并向属地二次供水行政主管部门备案。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第十三条</w:t>
      </w:r>
      <w:r>
        <w:rPr>
          <w:rFonts w:hint="eastAsia" w:ascii="仿宋" w:hAnsi="仿宋" w:eastAsia="仿宋" w:cs="仿宋"/>
          <w:snapToGrid/>
          <w:color w:val="auto"/>
          <w:sz w:val="32"/>
          <w:shd w:val="clear" w:color="auto" w:fill="FFFFFF"/>
          <w:lang w:val="en-US" w:eastAsia="zh-CN"/>
        </w:rPr>
        <w:t xml:space="preserve"> 叠压供水方式应征得二次供水行政主管部门审查同意后方可使用；采用叠压供水方式时，不应造成该区城市供水管网的水压低于本地规定的最低供水服务压力及对城市公共供水管网造成污染，且不应对周围现有建筑供水造成影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第十四条</w:t>
      </w:r>
      <w:r>
        <w:rPr>
          <w:rFonts w:hint="eastAsia" w:ascii="仿宋" w:hAnsi="仿宋" w:eastAsia="仿宋" w:cs="仿宋"/>
          <w:snapToGrid/>
          <w:color w:val="auto"/>
          <w:sz w:val="32"/>
          <w:shd w:val="clear" w:color="auto" w:fill="FFFFFF"/>
          <w:lang w:val="en-US" w:eastAsia="zh-CN"/>
        </w:rPr>
        <w:t xml:space="preserve">  二次供水设施的设计和施工应当执行国家和本省有关规范和标准，并符合下列要求：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（一）新建、改建、扩建二次供水工程应实行“一户一表、户外计量”，推广使用与城市供水企业已建成的智慧抄表平台相兼容的智能远传水表，设施建设所需投资纳入主体工程项目建设成本，由建设单位承担。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（二）二次供水中的设备、材料及附件等涉水产品应符合现行国家标准《生活饮用水输配水设备及防护材料的安全性评价标准》（GB/T 17219）《二次供水设施卫生规范》（GB 17051）的有关规定。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（三）泵房内水泵机组的运行噪声对周围环境的影响应符合现行《声环境质量标准》（GB 3096）《民用建筑隔声设计规范》（GB 50118）的有关规定。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（四）鼓励二次供水设施配置消毒剂余量、浊度等水质在线监测设备；宜建立二次供水远程管理控制系统，实现与城市智慧水务监控平台联网。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（五）二次供水加压泵房应落实防淹、防断电措施。探索在建筑小区、楼宇的进水管道上安装可连接供水车等外部加压设备的应急供水接口。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第十五条</w:t>
      </w:r>
      <w:r>
        <w:rPr>
          <w:rFonts w:hint="eastAsia" w:ascii="仿宋" w:hAnsi="仿宋" w:eastAsia="仿宋" w:cs="仿宋"/>
          <w:snapToGrid/>
          <w:color w:val="auto"/>
          <w:sz w:val="32"/>
          <w:shd w:val="clear" w:color="auto" w:fill="FFFFFF"/>
          <w:lang w:val="en-US" w:eastAsia="zh-CN"/>
        </w:rPr>
        <w:t xml:space="preserve"> 禁止任何单位和个人擅自将二次供水设施与城市公共供水管网直接连接；因特殊情况确需直接连接的，建设单位应当向城市供水企业提出申请，并对自建二次供水设施检验合格，在管道连接处采取有效的防污染措施，经城市供水企业同意后方可连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第三章 运行维护管理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第十六条</w:t>
      </w:r>
      <w:r>
        <w:rPr>
          <w:rFonts w:hint="eastAsia" w:ascii="仿宋" w:hAnsi="仿宋" w:eastAsia="仿宋" w:cs="仿宋"/>
          <w:snapToGrid/>
          <w:color w:val="auto"/>
          <w:sz w:val="32"/>
          <w:shd w:val="clear" w:color="auto" w:fill="FFFFFF"/>
          <w:lang w:val="en-US" w:eastAsia="zh-CN"/>
        </w:rPr>
        <w:t xml:space="preserve">  新建的二次供水设施鼓励由供水企业实施统建统管，建设单位建成并通过竣工验收后，移交城市供水企业负责专业运行维护。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不符合技术、卫生和安全防范等相关规范标准要求的二次供水设施，应组织实施二次供水设施及户表改造，经改造并通过竣工验收合格后的二次供水设施，移交城市供水企业负责专业运行维护。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对暂不具备移交条件的，由建设单位或产权人、业主、物业企业、业主委员会或者其委托的单位负责，按照相关要求做好设施的运行维护。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highlight w:val="none"/>
          <w:shd w:val="clear" w:color="auto" w:fill="FFFFFF"/>
          <w:lang w:val="en-US" w:eastAsia="zh-CN"/>
        </w:rPr>
        <w:t>第十七条</w:t>
      </w:r>
      <w:r>
        <w:rPr>
          <w:rFonts w:hint="eastAsia" w:ascii="仿宋" w:hAnsi="仿宋" w:eastAsia="仿宋" w:cs="仿宋"/>
          <w:snapToGrid/>
          <w:color w:val="auto"/>
          <w:sz w:val="32"/>
          <w:highlight w:val="none"/>
          <w:shd w:val="clear" w:color="auto" w:fill="FFFFFF"/>
          <w:lang w:val="en-US" w:eastAsia="zh-CN"/>
        </w:rPr>
        <w:t xml:space="preserve"> </w:t>
      </w:r>
      <w:r>
        <w:rPr>
          <w:rFonts w:hint="eastAsia" w:ascii="仿宋" w:hAnsi="仿宋" w:eastAsia="仿宋" w:cs="仿宋"/>
          <w:snapToGrid/>
          <w:color w:val="auto"/>
          <w:sz w:val="32"/>
          <w:shd w:val="clear" w:color="auto" w:fill="FFFFFF"/>
          <w:lang w:val="en-US" w:eastAsia="zh-CN"/>
        </w:rPr>
        <w:t>由供水企业负责运行维护的二次供水设施，其运行维护、修理更新成本计入供水价格，不得另行收费。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二次供水设施未移交供水企业管理的，由产权人或其委托的单位负责运行维护，并承担相关费用。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城市居民住宅小区二次供水设施运行用电，按照国家有关规定执行居民生活用电价格。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第十八条</w:t>
      </w:r>
      <w:r>
        <w:rPr>
          <w:rFonts w:hint="eastAsia" w:ascii="仿宋" w:hAnsi="仿宋" w:eastAsia="仿宋" w:cs="仿宋"/>
          <w:snapToGrid/>
          <w:color w:val="auto"/>
          <w:sz w:val="32"/>
          <w:shd w:val="clear" w:color="auto" w:fill="FFFFFF"/>
          <w:lang w:val="en-US" w:eastAsia="zh-CN"/>
        </w:rPr>
        <w:t xml:space="preserve"> 将二次供水设施移交城市供水企业进行专业运行维护的，建设单位或产权人、业主或原管理单位应同供水企业签订二次供水设施委托管理协议，并将给水设施竣工总平面图、结构设备竣工图、地下管网工程竣工图、工程验收报告、设备的安装使用及维护保养等设施档案及图文资料一并移交城市供水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第十九条</w:t>
      </w:r>
      <w:r>
        <w:rPr>
          <w:rFonts w:hint="eastAsia" w:ascii="仿宋" w:hAnsi="仿宋" w:eastAsia="仿宋" w:cs="仿宋"/>
          <w:snapToGrid/>
          <w:color w:val="auto"/>
          <w:sz w:val="32"/>
          <w:shd w:val="clear" w:color="auto" w:fill="FFFFFF"/>
          <w:lang w:val="en-US" w:eastAsia="zh-CN"/>
        </w:rPr>
        <w:t xml:space="preserve">  二次供水设施管理单位应当遵守下列基本管理要求：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w:t>
      </w:r>
      <w:r>
        <w:rPr>
          <w:rFonts w:hint="eastAsia" w:ascii="仿宋" w:hAnsi="仿宋" w:eastAsia="仿宋" w:cs="仿宋"/>
          <w:color w:val="auto"/>
          <w:sz w:val="32"/>
          <w:szCs w:val="32"/>
          <w:lang w:val="en-US" w:eastAsia="zh-CN"/>
        </w:rPr>
        <w:t>建立健全生活饮用水卫生管理制度。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color w:val="auto"/>
          <w:sz w:val="32"/>
          <w:szCs w:val="32"/>
          <w:lang w:val="en-US" w:eastAsia="zh-CN"/>
        </w:rPr>
        <w:t>（二）配备专人进行管</w:t>
      </w:r>
      <w:r>
        <w:rPr>
          <w:rFonts w:hint="eastAsia" w:ascii="仿宋" w:hAnsi="仿宋" w:eastAsia="仿宋" w:cs="仿宋"/>
          <w:snapToGrid/>
          <w:color w:val="auto"/>
          <w:sz w:val="32"/>
          <w:shd w:val="clear" w:color="auto" w:fill="FFFFFF"/>
          <w:lang w:val="en-US" w:eastAsia="zh-CN"/>
        </w:rPr>
        <w:t>理，每年进行一次健康检查和卫生知识培训，取得健康证明后方可上岗。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三</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二次供水设施管理单位应按照有关卫生标准和规范委托有资质的单位开展水质检测，并对调蓄</w:t>
      </w:r>
      <w:r>
        <w:rPr>
          <w:rFonts w:hint="default" w:ascii="仿宋" w:hAnsi="仿宋" w:eastAsia="仿宋" w:cs="仿宋"/>
          <w:color w:val="auto"/>
          <w:sz w:val="32"/>
          <w:szCs w:val="32"/>
          <w:lang w:val="en-US" w:eastAsia="zh-CN"/>
        </w:rPr>
        <w:t>设施</w:t>
      </w:r>
      <w:r>
        <w:rPr>
          <w:rFonts w:hint="eastAsia" w:ascii="仿宋" w:hAnsi="仿宋" w:eastAsia="仿宋" w:cs="仿宋"/>
          <w:color w:val="auto"/>
          <w:sz w:val="32"/>
          <w:szCs w:val="32"/>
          <w:lang w:val="en-US" w:eastAsia="zh-CN"/>
        </w:rPr>
        <w:t>进行</w:t>
      </w:r>
      <w:r>
        <w:rPr>
          <w:rFonts w:hint="default" w:ascii="仿宋" w:hAnsi="仿宋" w:eastAsia="仿宋" w:cs="仿宋"/>
          <w:color w:val="auto"/>
          <w:sz w:val="32"/>
          <w:szCs w:val="32"/>
          <w:lang w:val="en-US" w:eastAsia="zh-CN"/>
        </w:rPr>
        <w:t>清洗消毒</w:t>
      </w:r>
      <w:r>
        <w:rPr>
          <w:rFonts w:hint="eastAsia" w:ascii="仿宋" w:hAnsi="仿宋" w:eastAsia="仿宋" w:cs="仿宋"/>
          <w:color w:val="auto"/>
          <w:sz w:val="32"/>
          <w:szCs w:val="32"/>
          <w:lang w:val="en-US" w:eastAsia="zh-CN"/>
        </w:rPr>
        <w:t>，水质检测和清洗消毒情况应及时按要求予以</w:t>
      </w:r>
      <w:r>
        <w:rPr>
          <w:rFonts w:hint="default" w:ascii="仿宋" w:hAnsi="仿宋" w:eastAsia="仿宋" w:cs="仿宋"/>
          <w:color w:val="auto"/>
          <w:sz w:val="32"/>
          <w:szCs w:val="32"/>
          <w:lang w:val="en-US" w:eastAsia="zh-CN"/>
        </w:rPr>
        <w:t>公示</w:t>
      </w:r>
      <w:r>
        <w:rPr>
          <w:rFonts w:hint="eastAsia" w:ascii="仿宋" w:hAnsi="仿宋" w:eastAsia="仿宋" w:cs="仿宋"/>
          <w:color w:val="auto"/>
          <w:sz w:val="32"/>
          <w:szCs w:val="32"/>
          <w:lang w:val="en-US" w:eastAsia="zh-CN"/>
        </w:rPr>
        <w:t>。委托开展清洗消毒作业的，二次供水设施管理单位应当建立索证验收制度，查验并保存清洗消毒服务单位所使用涉水产品的卫生许可批件、清洗消毒人员健康证等资料；清洗消毒完成后二次供水设施管理单位应对调蓄设施清洗消毒完成情况开展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四</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对二次供水设施应采取相应的卫生防护和安全防范措施，定期进行巡查、保养和维护，并做好记录。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五</w:t>
      </w:r>
      <w:r>
        <w:rPr>
          <w:rFonts w:hint="default" w:ascii="仿宋" w:hAnsi="仿宋" w:eastAsia="仿宋" w:cs="仿宋"/>
          <w:color w:val="auto"/>
          <w:sz w:val="32"/>
          <w:szCs w:val="32"/>
          <w:lang w:val="en-US" w:eastAsia="zh-CN"/>
        </w:rPr>
        <w:t>）</w:t>
      </w:r>
      <w:r>
        <w:rPr>
          <w:rFonts w:hint="eastAsia" w:ascii="仿宋" w:hAnsi="仿宋" w:eastAsia="仿宋" w:cs="仿宋"/>
          <w:snapToGrid/>
          <w:color w:val="auto"/>
          <w:sz w:val="32"/>
          <w:shd w:val="clear" w:color="auto" w:fill="FFFFFF"/>
          <w:lang w:val="en-US" w:eastAsia="zh-CN"/>
        </w:rPr>
        <w:t>居民建筑二次供水设施应按照《城市供水行业反恐怖防范工作标准》Ⅱ类反恐怖类别管理要求，落实安全防范主体责任，</w:t>
      </w:r>
      <w:r>
        <w:rPr>
          <w:rFonts w:hint="eastAsia" w:ascii="仿宋" w:hAnsi="仿宋" w:eastAsia="仿宋" w:cs="仿宋"/>
          <w:color w:val="auto"/>
          <w:sz w:val="32"/>
          <w:szCs w:val="32"/>
          <w:lang w:val="en-US" w:eastAsia="zh-CN"/>
        </w:rPr>
        <w:t>制定二次供水突发事件应急预案并组织演练，</w:t>
      </w:r>
      <w:r>
        <w:rPr>
          <w:rFonts w:hint="eastAsia" w:ascii="仿宋" w:hAnsi="仿宋" w:eastAsia="仿宋" w:cs="仿宋"/>
          <w:snapToGrid/>
          <w:color w:val="auto"/>
          <w:sz w:val="32"/>
          <w:shd w:val="clear" w:color="auto" w:fill="FFFFFF"/>
          <w:lang w:val="en-US" w:eastAsia="zh-CN"/>
        </w:rPr>
        <w:t>规范配置“三防”设施，</w:t>
      </w:r>
      <w:r>
        <w:rPr>
          <w:rFonts w:hint="eastAsia" w:ascii="仿宋" w:hAnsi="仿宋" w:eastAsia="仿宋" w:cs="仿宋"/>
          <w:color w:val="auto"/>
          <w:sz w:val="32"/>
          <w:szCs w:val="32"/>
          <w:lang w:val="en-US" w:eastAsia="zh-CN"/>
        </w:rPr>
        <w:t>发生涉恐等异常情况，及时向有关部门报告，</w:t>
      </w:r>
      <w:r>
        <w:rPr>
          <w:rFonts w:hint="eastAsia" w:ascii="仿宋" w:hAnsi="仿宋" w:eastAsia="仿宋" w:cs="仿宋"/>
          <w:snapToGrid/>
          <w:color w:val="auto"/>
          <w:sz w:val="32"/>
          <w:shd w:val="clear" w:color="auto" w:fill="FFFFFF"/>
          <w:lang w:val="en-US" w:eastAsia="zh-CN"/>
        </w:rPr>
        <w:t>有效预防供水安全事故的发生。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（六）按照相关规定对住户计量水表进行周期检定或到期更换。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（七）国家、陕西省和本市有关生活饮用水卫生管理的其他规定。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snapToGrid/>
          <w:color w:val="auto"/>
          <w:sz w:val="32"/>
          <w:shd w:val="clear" w:color="auto" w:fill="FFFFFF"/>
          <w:lang w:val="en-US" w:eastAsia="zh-CN"/>
        </w:rPr>
        <w:t>二十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二次供水调蓄设施</w:t>
      </w:r>
      <w:r>
        <w:rPr>
          <w:rFonts w:hint="eastAsia" w:ascii="仿宋" w:hAnsi="仿宋" w:eastAsia="仿宋" w:cs="仿宋"/>
          <w:color w:val="auto"/>
          <w:sz w:val="32"/>
          <w:szCs w:val="32"/>
        </w:rPr>
        <w:t>清洗消毒</w:t>
      </w:r>
      <w:r>
        <w:rPr>
          <w:rFonts w:hint="eastAsia" w:ascii="仿宋" w:hAnsi="仿宋" w:eastAsia="仿宋" w:cs="仿宋"/>
          <w:color w:val="auto"/>
          <w:sz w:val="32"/>
          <w:szCs w:val="32"/>
          <w:lang w:val="en-US" w:eastAsia="zh-CN"/>
        </w:rPr>
        <w:t>作业应符合相关标准规范要求，使用的涉水产品、消毒产品应取得卫生许可批件，清洗消毒人员应每年进行一次健康检查和卫生知识培训。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二次供水设施管理单位应当在对二次供水调蓄设施清洗消毒2日前，通过张贴告示等方式，告知用户清洗消毒的具体时间。</w:t>
      </w:r>
    </w:p>
    <w:p>
      <w:pPr>
        <w:keepNext w:val="0"/>
        <w:keepLines w:val="0"/>
        <w:pageBreakBefore w:val="0"/>
        <w:widowControl w:val="0"/>
        <w:kinsoku/>
        <w:wordWrap/>
        <w:overflowPunct/>
        <w:topLinePunct w:val="0"/>
        <w:autoSpaceDE/>
        <w:autoSpaceDN w:val="0"/>
        <w:bidi w:val="0"/>
        <w:adjustRightInd/>
        <w:snapToGrid/>
        <w:spacing w:line="560" w:lineRule="exact"/>
        <w:ind w:firstLine="640"/>
        <w:jc w:val="both"/>
        <w:textAlignment w:val="auto"/>
        <w:rPr>
          <w:rFonts w:hint="eastAsia" w:ascii="仿宋" w:hAnsi="仿宋" w:eastAsia="仿宋" w:cs="仿宋"/>
          <w:snapToGrid/>
          <w:color w:val="auto"/>
          <w:sz w:val="24"/>
          <w:lang w:eastAsia="zh-CN"/>
        </w:rPr>
      </w:pPr>
      <w:r>
        <w:rPr>
          <w:rFonts w:hint="eastAsia" w:ascii="仿宋" w:hAnsi="仿宋" w:eastAsia="仿宋" w:cs="仿宋"/>
          <w:b/>
          <w:bCs/>
          <w:snapToGrid/>
          <w:color w:val="auto"/>
          <w:sz w:val="32"/>
          <w:shd w:val="clear" w:color="auto" w:fill="FFFFFF"/>
          <w:lang w:val="en-US" w:eastAsia="zh-CN"/>
        </w:rPr>
        <w:t>第二十一条</w:t>
      </w:r>
      <w:r>
        <w:rPr>
          <w:rFonts w:hint="eastAsia" w:ascii="仿宋" w:hAnsi="仿宋" w:eastAsia="仿宋" w:cs="仿宋"/>
          <w:snapToGrid/>
          <w:color w:val="auto"/>
          <w:sz w:val="32"/>
          <w:shd w:val="clear" w:color="auto" w:fill="FFFFFF"/>
          <w:lang w:val="en-US" w:eastAsia="zh-CN"/>
        </w:rPr>
        <w:t xml:space="preserve"> </w:t>
      </w:r>
      <w:r>
        <w:rPr>
          <w:rFonts w:hint="eastAsia" w:ascii="仿宋" w:hAnsi="仿宋" w:eastAsia="仿宋" w:cs="仿宋"/>
          <w:snapToGrid/>
          <w:color w:val="auto"/>
          <w:sz w:val="32"/>
          <w:shd w:val="clear" w:color="auto" w:fill="FFFFFF"/>
          <w:lang w:eastAsia="zh-CN"/>
        </w:rPr>
        <w:t>二次供水设施管理单位应当保证二次供水设施不间断供水。二次供水设施发生故障后，管理单位应当立即组织抢修，及时恢复供水。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napToGrid/>
          <w:color w:val="auto"/>
          <w:sz w:val="32"/>
          <w:shd w:val="clear" w:color="auto" w:fill="FFFFFF"/>
          <w:lang w:eastAsia="zh-CN"/>
        </w:rPr>
        <w:t>因工程施工、设备维修等情况确需停水或降压供水的，</w:t>
      </w:r>
      <w:r>
        <w:rPr>
          <w:rFonts w:hint="eastAsia" w:ascii="仿宋" w:hAnsi="仿宋" w:eastAsia="仿宋" w:cs="仿宋"/>
          <w:snapToGrid/>
          <w:color w:val="auto"/>
          <w:sz w:val="32"/>
          <w:shd w:val="clear" w:color="auto" w:fill="FFFFFF"/>
          <w:lang w:val="en-US" w:eastAsia="zh-CN"/>
        </w:rPr>
        <w:t>二次供水设施</w:t>
      </w:r>
      <w:r>
        <w:rPr>
          <w:rFonts w:hint="eastAsia" w:ascii="仿宋" w:hAnsi="仿宋" w:eastAsia="仿宋" w:cs="仿宋"/>
          <w:snapToGrid/>
          <w:color w:val="auto"/>
          <w:sz w:val="32"/>
          <w:shd w:val="clear" w:color="auto" w:fill="FFFFFF"/>
          <w:lang w:eastAsia="zh-CN"/>
        </w:rPr>
        <w:t>管理单位应当报</w:t>
      </w:r>
      <w:r>
        <w:rPr>
          <w:rFonts w:hint="eastAsia" w:ascii="仿宋" w:hAnsi="仿宋" w:eastAsia="仿宋" w:cs="仿宋"/>
          <w:snapToGrid/>
          <w:color w:val="auto"/>
          <w:sz w:val="32"/>
          <w:shd w:val="clear" w:color="auto" w:fill="FFFFFF"/>
          <w:lang w:val="en-US" w:eastAsia="zh-CN"/>
        </w:rPr>
        <w:t>二次供水行政主管部门</w:t>
      </w:r>
      <w:r>
        <w:rPr>
          <w:rFonts w:hint="eastAsia" w:ascii="仿宋" w:hAnsi="仿宋" w:eastAsia="仿宋" w:cs="仿宋"/>
          <w:snapToGrid/>
          <w:color w:val="auto"/>
          <w:sz w:val="32"/>
          <w:shd w:val="clear" w:color="auto" w:fill="FFFFFF"/>
          <w:lang w:eastAsia="zh-CN"/>
        </w:rPr>
        <w:t>同意，并提前24小时通知用户做好储水准备；因设备故障、发生灾害或者紧急事故等情况，不能提前通知的，应当在抢修的同时通知用户，尽快恢复正常供水，并报告二次供水行政主管部门。</w:t>
      </w:r>
      <w:r>
        <w:rPr>
          <w:rFonts w:hint="eastAsia" w:ascii="仿宋" w:hAnsi="仿宋" w:eastAsia="仿宋" w:cs="仿宋"/>
          <w:color w:val="auto"/>
          <w:sz w:val="32"/>
          <w:szCs w:val="32"/>
          <w:lang w:val="en-US" w:eastAsia="zh-CN"/>
        </w:rPr>
        <w:t>超过24小时不能恢复供水的，二次供水设施管理单位应当会同供水企业采取应急措施供水，保障居民基本生活用水需求。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第二十二条</w:t>
      </w:r>
      <w:r>
        <w:rPr>
          <w:rFonts w:hint="eastAsia" w:ascii="仿宋" w:hAnsi="仿宋" w:eastAsia="仿宋" w:cs="仿宋"/>
          <w:snapToGrid/>
          <w:color w:val="auto"/>
          <w:sz w:val="32"/>
          <w:shd w:val="clear" w:color="auto" w:fill="FFFFFF"/>
          <w:lang w:val="en-US" w:eastAsia="zh-CN"/>
        </w:rPr>
        <w:t xml:space="preserve">  二次供水发生水质污染事件的，二次供水设施管理单位应立即予以处置，防止事件扩大，并按照规定向当地疾病预防控制行政主管部门、二次供水行政主管部门报告，并协助开展调查处置。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snapToGrid/>
          <w:color w:val="auto"/>
          <w:sz w:val="32"/>
          <w:shd w:val="clear" w:color="auto" w:fill="FFFFFF"/>
          <w:lang w:val="en-US" w:eastAsia="zh-CN"/>
        </w:rPr>
        <w:t>调查发现生活饮用水被污染，须停止使用时，二次供水行政主管部门应会同疾病预防控制行政主管部门责令其停止供水，封闭供水设施，</w:t>
      </w:r>
      <w:r>
        <w:rPr>
          <w:rFonts w:hint="eastAsia" w:ascii="仿宋" w:hAnsi="仿宋" w:eastAsia="仿宋" w:cs="仿宋"/>
          <w:color w:val="auto"/>
          <w:sz w:val="32"/>
          <w:szCs w:val="32"/>
          <w:lang w:val="en-US" w:eastAsia="zh-CN"/>
        </w:rPr>
        <w:t>责令二次供水设施管理单位查明原因，对可能涉及污染的供水设施和管网进行清洗消毒，</w:t>
      </w:r>
      <w:r>
        <w:rPr>
          <w:rFonts w:hint="eastAsia" w:ascii="仿宋" w:hAnsi="仿宋" w:eastAsia="仿宋" w:cs="仿宋"/>
          <w:snapToGrid/>
          <w:color w:val="auto"/>
          <w:sz w:val="32"/>
          <w:shd w:val="clear" w:color="auto" w:fill="FFFFFF"/>
          <w:lang w:val="en-US" w:eastAsia="zh-CN"/>
        </w:rPr>
        <w:t>处置到位，水质检测合格后，经二次供水行政主管部门会同疾病预防控制行政主管部门批准后，方可恢复供水。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napToGrid/>
          <w:color w:val="auto"/>
          <w:sz w:val="32"/>
          <w:shd w:val="clear" w:color="auto" w:fill="FFFFFF"/>
          <w:lang w:val="en-US" w:eastAsia="zh-CN"/>
        </w:rPr>
        <w:t>在停止供水期间，</w:t>
      </w:r>
      <w:r>
        <w:rPr>
          <w:rFonts w:hint="eastAsia" w:ascii="仿宋" w:hAnsi="仿宋" w:eastAsia="仿宋" w:cs="仿宋"/>
          <w:color w:val="auto"/>
          <w:sz w:val="32"/>
          <w:szCs w:val="32"/>
          <w:lang w:val="en-US" w:eastAsia="zh-CN"/>
        </w:rPr>
        <w:t>由二次供水设施管理单位会同城市供水企业采取应急措施供水，保障居民基本生活用水需求。二次供水设施修复、应急供水相关费用由造成污染的责任单位（责任人）承担。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napToGrid/>
          <w:color w:val="auto"/>
          <w:sz w:val="32"/>
          <w:shd w:val="clear" w:color="auto" w:fill="FFFFFF"/>
          <w:lang w:val="en-US" w:eastAsia="zh-CN"/>
        </w:rPr>
      </w:pPr>
      <w:r>
        <w:rPr>
          <w:rFonts w:hint="eastAsia" w:ascii="仿宋" w:hAnsi="仿宋" w:eastAsia="仿宋" w:cs="仿宋"/>
          <w:b/>
          <w:bCs/>
          <w:snapToGrid/>
          <w:color w:val="auto"/>
          <w:sz w:val="32"/>
          <w:shd w:val="clear" w:color="auto" w:fill="FFFFFF"/>
          <w:lang w:val="en-US" w:eastAsia="zh-CN"/>
        </w:rPr>
        <w:t>第二十三条</w:t>
      </w:r>
      <w:r>
        <w:rPr>
          <w:rFonts w:hint="eastAsia" w:ascii="仿宋" w:hAnsi="仿宋" w:eastAsia="仿宋" w:cs="仿宋"/>
          <w:snapToGrid/>
          <w:color w:val="auto"/>
          <w:sz w:val="32"/>
          <w:shd w:val="clear" w:color="auto" w:fill="FFFFFF"/>
          <w:lang w:val="en-US" w:eastAsia="zh-CN"/>
        </w:rPr>
        <w:t xml:space="preserve">  任何单位和个人不得危害二次供水设施安全，不得擅自改装、迁移或者拆除二次供水设施，不得阻挠、妨碍二次供水设施的维护管理、卫生检测等工作。</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jc w:val="center"/>
        <w:textAlignment w:val="auto"/>
        <w:rPr>
          <w:rFonts w:hint="eastAsia" w:ascii="黑体" w:hAnsi="黑体" w:eastAsia="黑体"/>
          <w:snapToGrid/>
          <w:color w:val="auto"/>
          <w:sz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jc w:val="center"/>
        <w:textAlignment w:val="auto"/>
        <w:rPr>
          <w:rFonts w:hint="eastAsia" w:ascii="黑体" w:hAnsi="黑体" w:eastAsia="黑体"/>
          <w:b/>
          <w:bCs/>
          <w:snapToGrid/>
          <w:color w:val="auto"/>
          <w:sz w:val="32"/>
          <w:shd w:val="clear" w:color="auto" w:fill="FFFFFF"/>
          <w:lang w:eastAsia="zh-CN"/>
        </w:rPr>
      </w:pPr>
      <w:r>
        <w:rPr>
          <w:rFonts w:hint="eastAsia" w:ascii="黑体" w:hAnsi="黑体" w:eastAsia="黑体"/>
          <w:b/>
          <w:bCs/>
          <w:snapToGrid/>
          <w:color w:val="auto"/>
          <w:sz w:val="32"/>
          <w:shd w:val="clear" w:color="auto" w:fill="FFFFFF"/>
          <w:lang w:val="en-US" w:eastAsia="zh-CN"/>
        </w:rPr>
        <w:t xml:space="preserve">第四章 </w:t>
      </w:r>
      <w:r>
        <w:rPr>
          <w:rFonts w:hint="eastAsia" w:ascii="黑体" w:hAnsi="黑体" w:eastAsia="黑体"/>
          <w:b/>
          <w:bCs/>
          <w:snapToGrid/>
          <w:color w:val="auto"/>
          <w:sz w:val="32"/>
          <w:shd w:val="clear" w:color="auto" w:fill="FFFFFF"/>
          <w:lang w:eastAsia="zh-CN"/>
        </w:rPr>
        <w:t>监督管理</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jc w:val="center"/>
        <w:textAlignment w:val="auto"/>
        <w:rPr>
          <w:rFonts w:hint="eastAsia" w:ascii="黑体" w:hAnsi="黑体" w:eastAsia="黑体"/>
          <w:snapToGrid/>
          <w:color w:val="auto"/>
          <w:sz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snapToGrid/>
          <w:color w:val="auto"/>
          <w:sz w:val="32"/>
          <w:shd w:val="clear" w:color="auto" w:fill="FFFFFF"/>
          <w:lang w:val="en-US" w:eastAsia="zh-CN"/>
        </w:rPr>
        <w:t>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县级以上二次供水行政主管部门、疾病预防控制行政主管部门应结合各自职责对二次供水运行维护管理情况开展监督检查，检查内容包含</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卫生管理制度及生活饮用水污染事件应急预案；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卫生管理人员的配备情况</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从业人员健康检查和培训考核记录；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（四）水质检测记录；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（五）二次供水设施巡查、保养、维护情况；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（六）调蓄设施清洗消毒记录；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（七）涉水产品、消毒产品卫生安全合格证明及进货查验记录；</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（八）涉及二次供水卫生安全的其他资料。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w:t>
      </w:r>
      <w:r>
        <w:rPr>
          <w:rFonts w:hint="eastAsia" w:ascii="仿宋" w:hAnsi="仿宋" w:eastAsia="仿宋" w:cs="仿宋"/>
          <w:b/>
          <w:bCs/>
          <w:color w:val="auto"/>
          <w:sz w:val="32"/>
          <w:szCs w:val="32"/>
        </w:rPr>
        <w:t>二十</w:t>
      </w:r>
      <w:r>
        <w:rPr>
          <w:rFonts w:hint="eastAsia" w:ascii="仿宋" w:hAnsi="仿宋" w:eastAsia="仿宋" w:cs="仿宋"/>
          <w:b/>
          <w:bCs/>
          <w:color w:val="auto"/>
          <w:sz w:val="32"/>
          <w:szCs w:val="32"/>
          <w:lang w:val="en-US" w:eastAsia="zh-CN"/>
        </w:rPr>
        <w:t xml:space="preserve">五条 </w:t>
      </w:r>
      <w:r>
        <w:rPr>
          <w:rFonts w:hint="eastAsia" w:ascii="仿宋" w:hAnsi="仿宋" w:eastAsia="仿宋" w:cs="仿宋"/>
          <w:color w:val="auto"/>
          <w:sz w:val="32"/>
          <w:szCs w:val="32"/>
          <w:lang w:val="en-US" w:eastAsia="zh-CN"/>
        </w:rPr>
        <w:t xml:space="preserve"> 县级以上人民政府二次供水、疾病预防控制、水行政、住房建设、应急管理、市场监管等行政主管部门应当建立二次供水监督管理协调联动机制，及时互相通报监督检查情况。对违反国家、陕西省和本市有关二次供水卫生管理规定的行为，相关行政主管部门应当按照各自职责，依法予以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第二十六条 </w:t>
      </w:r>
      <w:r>
        <w:rPr>
          <w:rFonts w:hint="eastAsia" w:ascii="仿宋" w:hAnsi="仿宋" w:eastAsia="仿宋" w:cs="仿宋"/>
          <w:color w:val="auto"/>
          <w:sz w:val="32"/>
          <w:szCs w:val="32"/>
          <w:lang w:val="en-US" w:eastAsia="zh-CN"/>
        </w:rPr>
        <w:t xml:space="preserve"> 县级以上人民政府二次供水、疾病预防控制等行政主管部门对二次供水设施管理单位依法实施监督检查，被检查单位应当予以配合</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黑体" w:hAnsi="黑体" w:eastAsia="黑体"/>
          <w:snapToGrid/>
          <w:color w:val="auto"/>
          <w:sz w:val="32"/>
          <w:shd w:val="clear" w:color="auto" w:fill="FFFFFF"/>
          <w:lang w:eastAsia="zh-CN"/>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宋体" w:hAnsi="宋体" w:eastAsia="宋体"/>
          <w:snapToGrid/>
          <w:color w:val="auto"/>
          <w:sz w:val="24"/>
          <w:lang w:eastAsia="zh-CN"/>
        </w:rPr>
      </w:pPr>
      <w:r>
        <w:rPr>
          <w:rFonts w:hint="default" w:ascii="黑体" w:hAnsi="黑体" w:eastAsia="黑体"/>
          <w:b/>
          <w:bCs/>
          <w:snapToGrid/>
          <w:color w:val="auto"/>
          <w:sz w:val="32"/>
          <w:shd w:val="clear" w:color="auto" w:fill="FFFFFF"/>
          <w:lang w:eastAsia="zh-CN"/>
        </w:rPr>
        <w:t>第五章  法律责任</w:t>
      </w: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default" w:ascii="宋体" w:hAnsi="宋体" w:eastAsia="宋体"/>
          <w:snapToGrid/>
          <w:color w:val="auto"/>
          <w:sz w:val="24"/>
          <w:lang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640"/>
        <w:jc w:val="left"/>
        <w:textAlignment w:val="auto"/>
        <w:rPr>
          <w:rFonts w:hint="eastAsia" w:ascii="仿宋" w:hAnsi="仿宋" w:eastAsia="仿宋" w:cs="仿宋"/>
          <w:snapToGrid/>
          <w:color w:val="auto"/>
          <w:sz w:val="24"/>
          <w:lang w:eastAsia="zh-CN"/>
        </w:rPr>
      </w:pPr>
      <w:r>
        <w:rPr>
          <w:rFonts w:hint="eastAsia" w:ascii="仿宋" w:hAnsi="仿宋" w:eastAsia="仿宋" w:cs="仿宋"/>
          <w:b/>
          <w:bCs/>
          <w:color w:val="auto"/>
          <w:sz w:val="32"/>
          <w:szCs w:val="32"/>
          <w:lang w:val="en-US" w:eastAsia="zh-CN"/>
        </w:rPr>
        <w:t>第二十七条</w:t>
      </w:r>
      <w:r>
        <w:rPr>
          <w:rFonts w:hint="eastAsia" w:ascii="仿宋" w:hAnsi="仿宋" w:eastAsia="仿宋" w:cs="仿宋"/>
          <w:b/>
          <w:snapToGrid/>
          <w:color w:val="auto"/>
          <w:sz w:val="32"/>
          <w:lang w:val="en-US" w:eastAsia="zh-CN"/>
        </w:rPr>
        <w:t xml:space="preserve">  </w:t>
      </w:r>
      <w:r>
        <w:rPr>
          <w:rFonts w:hint="eastAsia" w:ascii="仿宋" w:hAnsi="仿宋" w:eastAsia="仿宋" w:cs="仿宋"/>
          <w:snapToGrid/>
          <w:color w:val="auto"/>
          <w:sz w:val="32"/>
          <w:shd w:val="clear" w:color="auto" w:fill="FFFFFF"/>
          <w:lang w:eastAsia="zh-CN"/>
        </w:rPr>
        <w:t>违反本办法规定的，由</w:t>
      </w:r>
      <w:r>
        <w:rPr>
          <w:rFonts w:hint="eastAsia" w:ascii="仿宋" w:hAnsi="仿宋" w:eastAsia="仿宋" w:cs="仿宋"/>
          <w:snapToGrid/>
          <w:color w:val="auto"/>
          <w:sz w:val="32"/>
          <w:shd w:val="clear" w:color="auto" w:fill="FFFFFF"/>
          <w:lang w:val="en-US" w:eastAsia="zh-CN"/>
        </w:rPr>
        <w:t>相</w:t>
      </w:r>
      <w:r>
        <w:rPr>
          <w:rFonts w:hint="eastAsia" w:ascii="仿宋" w:hAnsi="仿宋" w:eastAsia="仿宋" w:cs="仿宋"/>
          <w:snapToGrid/>
          <w:color w:val="auto"/>
          <w:sz w:val="32"/>
          <w:shd w:val="clear" w:color="auto" w:fill="FFFFFF"/>
          <w:lang w:eastAsia="zh-CN"/>
        </w:rPr>
        <w:t>关行政管理部门依法处理。</w:t>
      </w:r>
      <w:r>
        <w:rPr>
          <w:rFonts w:hint="eastAsia" w:ascii="仿宋" w:hAnsi="仿宋" w:eastAsia="仿宋" w:cs="仿宋"/>
          <w:snapToGrid/>
          <w:color w:val="auto"/>
          <w:sz w:val="32"/>
          <w:shd w:val="clear" w:color="auto" w:fill="FFFFFF"/>
          <w:lang w:val="en-US" w:eastAsia="zh-CN"/>
        </w:rPr>
        <w:t>情节严重，构成</w:t>
      </w:r>
      <w:r>
        <w:rPr>
          <w:rFonts w:hint="eastAsia" w:ascii="仿宋" w:hAnsi="仿宋" w:eastAsia="仿宋" w:cs="仿宋"/>
          <w:snapToGrid/>
          <w:color w:val="auto"/>
          <w:sz w:val="32"/>
          <w:shd w:val="clear" w:color="auto" w:fill="FFFFFF"/>
          <w:lang w:eastAsia="zh-CN"/>
        </w:rPr>
        <w:t xml:space="preserve">犯罪的，依法追究刑事责任。 </w:t>
      </w:r>
      <w:r>
        <w:rPr>
          <w:rFonts w:hint="eastAsia" w:ascii="仿宋" w:hAnsi="仿宋" w:eastAsia="仿宋" w:cs="仿宋"/>
          <w:b/>
          <w:snapToGrid/>
          <w:color w:val="auto"/>
          <w:sz w:val="32"/>
          <w:shd w:val="clear" w:color="auto" w:fill="FFFFFF"/>
          <w:lang w:eastAsia="zh-CN"/>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firstLine="640"/>
        <w:jc w:val="both"/>
        <w:textAlignment w:val="auto"/>
        <w:rPr>
          <w:rFonts w:hint="eastAsia" w:ascii="仿宋" w:hAnsi="仿宋" w:eastAsia="仿宋" w:cs="仿宋"/>
          <w:snapToGrid/>
          <w:color w:val="auto"/>
          <w:sz w:val="32"/>
          <w:shd w:val="clear" w:color="auto" w:fill="FFFFFF"/>
          <w:lang w:eastAsia="zh-CN"/>
        </w:rPr>
      </w:pPr>
      <w:r>
        <w:rPr>
          <w:rFonts w:hint="eastAsia" w:ascii="仿宋" w:hAnsi="仿宋" w:eastAsia="仿宋" w:cs="仿宋"/>
          <w:b/>
          <w:bCs w:val="0"/>
          <w:snapToGrid/>
          <w:color w:val="auto"/>
          <w:sz w:val="32"/>
          <w:lang w:eastAsia="zh-CN"/>
        </w:rPr>
        <w:t>第</w:t>
      </w:r>
      <w:r>
        <w:rPr>
          <w:rFonts w:hint="eastAsia" w:ascii="仿宋" w:hAnsi="仿宋" w:eastAsia="仿宋" w:cs="仿宋"/>
          <w:b/>
          <w:bCs/>
          <w:color w:val="auto"/>
          <w:sz w:val="32"/>
          <w:szCs w:val="32"/>
          <w:lang w:val="en-US" w:eastAsia="zh-CN"/>
        </w:rPr>
        <w:t>二十八</w:t>
      </w:r>
      <w:r>
        <w:rPr>
          <w:rFonts w:hint="eastAsia" w:ascii="仿宋" w:hAnsi="仿宋" w:eastAsia="仿宋" w:cs="仿宋"/>
          <w:b/>
          <w:bCs w:val="0"/>
          <w:snapToGrid/>
          <w:color w:val="auto"/>
          <w:sz w:val="32"/>
          <w:lang w:eastAsia="zh-CN"/>
        </w:rPr>
        <w:t>条</w:t>
      </w:r>
      <w:r>
        <w:rPr>
          <w:rFonts w:hint="eastAsia" w:ascii="仿宋" w:hAnsi="仿宋" w:eastAsia="仿宋" w:cs="仿宋"/>
          <w:snapToGrid/>
          <w:color w:val="auto"/>
          <w:sz w:val="32"/>
          <w:shd w:val="clear" w:color="auto" w:fill="FFFFFF"/>
          <w:lang w:eastAsia="zh-CN"/>
        </w:rPr>
        <w:t xml:space="preserve">  城市二次供水管理相关工作人员如有玩忽职守、滥用职权、徇私舞弊、贪污受贿等行为的，由相关部门依法依规进行处理。</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黑体" w:hAnsi="黑体" w:eastAsia="黑体"/>
          <w:snapToGrid/>
          <w:color w:val="auto"/>
          <w:sz w:val="32"/>
          <w:shd w:val="clear" w:color="auto" w:fill="FFFFFF"/>
          <w:lang w:eastAsia="zh-CN"/>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宋体" w:hAnsi="宋体" w:eastAsia="宋体"/>
          <w:b/>
          <w:bCs/>
          <w:snapToGrid/>
          <w:color w:val="auto"/>
          <w:sz w:val="24"/>
          <w:lang w:eastAsia="zh-CN"/>
        </w:rPr>
      </w:pPr>
      <w:r>
        <w:rPr>
          <w:rFonts w:hint="default" w:ascii="黑体" w:hAnsi="黑体" w:eastAsia="黑体"/>
          <w:b/>
          <w:bCs/>
          <w:snapToGrid/>
          <w:color w:val="auto"/>
          <w:sz w:val="32"/>
          <w:shd w:val="clear" w:color="auto" w:fill="FFFFFF"/>
          <w:lang w:eastAsia="zh-CN"/>
        </w:rPr>
        <w:t>第六章  附  则</w:t>
      </w:r>
    </w:p>
    <w:p>
      <w:pPr>
        <w:keepNext w:val="0"/>
        <w:keepLines w:val="0"/>
        <w:pageBreakBefore w:val="0"/>
        <w:widowControl w:val="0"/>
        <w:kinsoku/>
        <w:wordWrap/>
        <w:overflowPunct/>
        <w:topLinePunct w:val="0"/>
        <w:autoSpaceDE/>
        <w:autoSpaceDN w:val="0"/>
        <w:bidi w:val="0"/>
        <w:adjustRightInd/>
        <w:snapToGrid/>
        <w:spacing w:line="560" w:lineRule="exact"/>
        <w:ind w:left="640"/>
        <w:jc w:val="both"/>
        <w:textAlignment w:val="auto"/>
        <w:rPr>
          <w:rFonts w:hint="default" w:ascii="宋体" w:hAnsi="宋体" w:eastAsia="宋体"/>
          <w:snapToGrid/>
          <w:color w:val="auto"/>
          <w:sz w:val="24"/>
          <w:lang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642" w:firstLineChars="200"/>
        <w:jc w:val="both"/>
        <w:textAlignment w:val="auto"/>
        <w:rPr>
          <w:rFonts w:hint="eastAsia" w:ascii="仿宋" w:hAnsi="仿宋" w:eastAsia="仿宋" w:cs="仿宋"/>
          <w:snapToGrid/>
          <w:color w:val="auto"/>
          <w:sz w:val="24"/>
          <w:lang w:eastAsia="zh-CN"/>
        </w:rPr>
      </w:pPr>
      <w:r>
        <w:rPr>
          <w:rFonts w:hint="eastAsia" w:ascii="仿宋" w:hAnsi="仿宋" w:eastAsia="仿宋" w:cs="仿宋"/>
          <w:b/>
          <w:bCs/>
          <w:snapToGrid/>
          <w:color w:val="auto"/>
          <w:sz w:val="32"/>
          <w:lang w:val="en-US" w:eastAsia="zh-CN"/>
        </w:rPr>
        <w:t>第</w:t>
      </w:r>
      <w:r>
        <w:rPr>
          <w:rFonts w:hint="eastAsia" w:ascii="仿宋" w:hAnsi="仿宋" w:eastAsia="仿宋" w:cs="仿宋"/>
          <w:b/>
          <w:bCs w:val="0"/>
          <w:snapToGrid/>
          <w:color w:val="auto"/>
          <w:sz w:val="32"/>
          <w:lang w:val="en-US" w:eastAsia="zh-CN"/>
        </w:rPr>
        <w:t>二十九</w:t>
      </w:r>
      <w:r>
        <w:rPr>
          <w:rFonts w:hint="eastAsia" w:ascii="仿宋" w:hAnsi="仿宋" w:eastAsia="仿宋" w:cs="仿宋"/>
          <w:b/>
          <w:bCs/>
          <w:snapToGrid/>
          <w:color w:val="auto"/>
          <w:sz w:val="32"/>
          <w:lang w:val="en-US" w:eastAsia="zh-CN"/>
        </w:rPr>
        <w:t xml:space="preserve">条 </w:t>
      </w:r>
      <w:r>
        <w:rPr>
          <w:rFonts w:hint="eastAsia" w:ascii="仿宋" w:hAnsi="仿宋" w:eastAsia="仿宋" w:cs="仿宋"/>
          <w:b w:val="0"/>
          <w:snapToGrid/>
          <w:color w:val="auto"/>
          <w:sz w:val="32"/>
          <w:lang w:eastAsia="zh-CN"/>
        </w:rPr>
        <w:t xml:space="preserve"> </w:t>
      </w:r>
      <w:r>
        <w:rPr>
          <w:rFonts w:hint="eastAsia" w:ascii="仿宋" w:hAnsi="仿宋" w:eastAsia="仿宋" w:cs="仿宋"/>
          <w:snapToGrid/>
          <w:color w:val="auto"/>
          <w:sz w:val="32"/>
          <w:lang w:eastAsia="zh-CN"/>
        </w:rPr>
        <w:t>本办法自</w:t>
      </w:r>
      <w:r>
        <w:rPr>
          <w:rFonts w:hint="eastAsia" w:ascii="仿宋" w:hAnsi="仿宋" w:eastAsia="仿宋" w:cs="仿宋"/>
          <w:snapToGrid/>
          <w:color w:val="auto"/>
          <w:sz w:val="32"/>
          <w:lang w:val="en-US" w:eastAsia="zh-CN"/>
        </w:rPr>
        <w:t>发布之日起三十日后施行，有效期5年</w:t>
      </w:r>
      <w:r>
        <w:rPr>
          <w:rFonts w:hint="eastAsia" w:ascii="仿宋" w:hAnsi="仿宋" w:eastAsia="仿宋" w:cs="仿宋"/>
          <w:snapToGrid/>
          <w:color w:val="auto"/>
          <w:sz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firstLine="640"/>
        <w:jc w:val="both"/>
        <w:textAlignment w:val="auto"/>
        <w:rPr>
          <w:rFonts w:hint="default" w:ascii="仿宋_GB2312" w:hAnsi="仿宋_GB2312" w:eastAsia="仿宋_GB2312"/>
          <w:snapToGrid/>
          <w:color w:val="auto"/>
          <w:sz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footerReference r:id="rId3" w:type="default"/>
      <w:pgSz w:w="11906" w:h="16838"/>
      <w:pgMar w:top="2154" w:right="1440" w:bottom="215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  \* MERGEFORMAT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  \* MERGEFORMAT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271AF"/>
    <w:rsid w:val="01217F88"/>
    <w:rsid w:val="016F45ED"/>
    <w:rsid w:val="025A34EF"/>
    <w:rsid w:val="02E6363E"/>
    <w:rsid w:val="05166E4C"/>
    <w:rsid w:val="058D14E6"/>
    <w:rsid w:val="06AE5BB8"/>
    <w:rsid w:val="086A6F1C"/>
    <w:rsid w:val="09DB6AF5"/>
    <w:rsid w:val="0A053D41"/>
    <w:rsid w:val="0A9C1BFA"/>
    <w:rsid w:val="0AD57BB7"/>
    <w:rsid w:val="0D1F5985"/>
    <w:rsid w:val="10432D00"/>
    <w:rsid w:val="128271AF"/>
    <w:rsid w:val="1363024E"/>
    <w:rsid w:val="15E240F2"/>
    <w:rsid w:val="16E80C72"/>
    <w:rsid w:val="17E21B65"/>
    <w:rsid w:val="189F1804"/>
    <w:rsid w:val="193A2B22"/>
    <w:rsid w:val="1ACD207B"/>
    <w:rsid w:val="1CEE68B6"/>
    <w:rsid w:val="1D445EF1"/>
    <w:rsid w:val="1D8B05A9"/>
    <w:rsid w:val="2089515E"/>
    <w:rsid w:val="22916662"/>
    <w:rsid w:val="23D00F4C"/>
    <w:rsid w:val="25082ECD"/>
    <w:rsid w:val="257F64AF"/>
    <w:rsid w:val="27193427"/>
    <w:rsid w:val="27634775"/>
    <w:rsid w:val="27C052F3"/>
    <w:rsid w:val="28DA3268"/>
    <w:rsid w:val="292E4C0A"/>
    <w:rsid w:val="29D137E8"/>
    <w:rsid w:val="2A5A1A2F"/>
    <w:rsid w:val="2B6761B2"/>
    <w:rsid w:val="2C3D33B6"/>
    <w:rsid w:val="2CC57BBD"/>
    <w:rsid w:val="2E6B5FB9"/>
    <w:rsid w:val="2F1B72D7"/>
    <w:rsid w:val="301536F0"/>
    <w:rsid w:val="32161171"/>
    <w:rsid w:val="345614B9"/>
    <w:rsid w:val="364863B0"/>
    <w:rsid w:val="36D36DF1"/>
    <w:rsid w:val="36FC5244"/>
    <w:rsid w:val="388D767A"/>
    <w:rsid w:val="3A83350C"/>
    <w:rsid w:val="3D9A41C5"/>
    <w:rsid w:val="3EFC68AD"/>
    <w:rsid w:val="3FAF7CCF"/>
    <w:rsid w:val="405F34A4"/>
    <w:rsid w:val="41BD3CC7"/>
    <w:rsid w:val="434059A8"/>
    <w:rsid w:val="437C113E"/>
    <w:rsid w:val="44780FD8"/>
    <w:rsid w:val="44BF09B5"/>
    <w:rsid w:val="44F52628"/>
    <w:rsid w:val="46244F73"/>
    <w:rsid w:val="47B7374F"/>
    <w:rsid w:val="49E537A1"/>
    <w:rsid w:val="4A993B61"/>
    <w:rsid w:val="4C92075D"/>
    <w:rsid w:val="4FF59CAF"/>
    <w:rsid w:val="52DB2E5E"/>
    <w:rsid w:val="56D65CA6"/>
    <w:rsid w:val="57464C52"/>
    <w:rsid w:val="57B36157"/>
    <w:rsid w:val="5C5B6DBD"/>
    <w:rsid w:val="5D6B2DEE"/>
    <w:rsid w:val="5D9A7EF9"/>
    <w:rsid w:val="60B51943"/>
    <w:rsid w:val="62586279"/>
    <w:rsid w:val="62591948"/>
    <w:rsid w:val="680924C2"/>
    <w:rsid w:val="68F77E6E"/>
    <w:rsid w:val="6B9E0A74"/>
    <w:rsid w:val="6E5E83EC"/>
    <w:rsid w:val="75AC03E1"/>
    <w:rsid w:val="75F9677B"/>
    <w:rsid w:val="7B8F4A86"/>
    <w:rsid w:val="7F53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2"/>
      <w:szCs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4677</Words>
  <Characters>4734</Characters>
  <Lines>0</Lines>
  <Paragraphs>0</Paragraphs>
  <TotalTime>103</TotalTime>
  <ScaleCrop>false</ScaleCrop>
  <LinksUpToDate>false</LinksUpToDate>
  <CharactersWithSpaces>4825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2025-06-06T08:47:00Z</dcterms:created>
  <dc:creator>HONOR</dc:creator>
  <cp:lastModifiedBy>uos</cp:lastModifiedBy>
  <cp:lastPrinted>2025-08-01T09:25:00Z</cp:lastPrinted>
  <dcterms:modified xsi:type="dcterms:W3CDTF">2025-08-20T16:54:01Z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661331C5B6594949809FE1113E62631D_13</vt:lpwstr>
  </property>
  <property fmtid="{D5CDD505-2E9C-101B-9397-08002B2CF9AE}" pid="4" name="KSOTemplateDocerSaveRecord">
    <vt:lpwstr>eyJoZGlkIjoiZGVlOTE2ZTM5NjMxNDMzMzRhNzZmMGZiYzZmMTVkYWYiLCJ1c2VySWQiOiI5NTIzODkzMzMifQ==</vt:lpwstr>
  </property>
</Properties>
</file>